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DE82C">
      <w:pPr>
        <w:pStyle w:val="4"/>
        <w:spacing w:after="0" w:line="440" w:lineRule="exact"/>
        <w:jc w:val="center"/>
        <w:rPr>
          <w:rFonts w:hint="eastAsia" w:ascii="新宋体" w:hAnsi="新宋体" w:eastAsia="新宋体" w:cs="新宋体"/>
          <w:b/>
          <w:sz w:val="36"/>
          <w:szCs w:val="36"/>
        </w:rPr>
      </w:pPr>
      <w:r>
        <w:rPr>
          <w:rFonts w:hint="eastAsia" w:ascii="新宋体" w:hAnsi="新宋体" w:eastAsia="新宋体" w:cs="新宋体"/>
          <w:b/>
          <w:sz w:val="36"/>
          <w:szCs w:val="36"/>
        </w:rPr>
        <w:t>评分细则</w:t>
      </w:r>
    </w:p>
    <w:p w14:paraId="2E9D86B9">
      <w:pPr>
        <w:numPr>
          <w:ilvl w:val="0"/>
          <w:numId w:val="1"/>
        </w:numPr>
        <w:spacing w:line="440" w:lineRule="exact"/>
        <w:rPr>
          <w:rFonts w:hint="eastAsia" w:ascii="新宋体" w:hAnsi="新宋体" w:eastAsia="新宋体" w:cs="新宋体"/>
          <w:b/>
          <w:bCs/>
          <w:sz w:val="22"/>
          <w:szCs w:val="22"/>
        </w:rPr>
      </w:pPr>
      <w:r>
        <w:rPr>
          <w:rFonts w:hint="eastAsia" w:ascii="新宋体" w:hAnsi="新宋体" w:eastAsia="新宋体" w:cs="新宋体"/>
          <w:b/>
          <w:bCs/>
          <w:sz w:val="22"/>
          <w:szCs w:val="22"/>
        </w:rPr>
        <w:t>商务技术文件的评定（70分）</w:t>
      </w:r>
    </w:p>
    <w:p w14:paraId="1D21CEA3">
      <w:pPr>
        <w:pStyle w:val="5"/>
        <w:rPr>
          <w:rFonts w:hint="eastAsia" w:ascii="Times New Roman" w:cs="Times New Roman"/>
          <w:color w:val="auto"/>
        </w:rPr>
      </w:pPr>
    </w:p>
    <w:tbl>
      <w:tblPr>
        <w:tblStyle w:val="6"/>
        <w:tblW w:w="8525" w:type="dxa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355"/>
        <w:gridCol w:w="5546"/>
        <w:gridCol w:w="992"/>
      </w:tblGrid>
      <w:tr w14:paraId="67CD1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AB7E97E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13032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评定项目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2BC3A9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评定内容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1E857">
            <w:pPr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分值范围</w:t>
            </w:r>
          </w:p>
        </w:tc>
      </w:tr>
      <w:tr w14:paraId="0AA0C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7CE0578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16CD1A3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97F4542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47B3B3E">
            <w:pPr>
              <w:pStyle w:val="2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0113094">
            <w:pPr>
              <w:pStyle w:val="2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158A4D9">
            <w:pPr>
              <w:pStyle w:val="2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9BCC7DD">
            <w:pPr>
              <w:pStyle w:val="2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78B913A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82421A"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展品深化设计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主观分）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179C9"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符合深化设计要求：</w:t>
            </w:r>
          </w:p>
          <w:p w14:paraId="51ACCE3D"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针对每个整改展品（懒惰管、静电乒乓、流化现象、八音琴、柏拉图多面体、尖端放电）提供详细深化设计方案，包括对机械结构、展示原理、互动方式等方面的深化内容方案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进行综合评审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每个展品方案0-3分）共18分</w:t>
            </w:r>
          </w:p>
          <w:p w14:paraId="3EE2CC52"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深化设计方案对原老展品改造意见进行优化提升，如在互动体验增强、展示效果优化等方面有合理创新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进行综合评审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每个展品方案0-1分），共6分</w:t>
            </w:r>
          </w:p>
          <w:p w14:paraId="21A1FD89">
            <w:pPr>
              <w:spacing w:line="44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懒惰管、静电乒乓两项外观改变的展品</w:t>
            </w:r>
            <w:r>
              <w:rPr>
                <w:rFonts w:hint="default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其外观设计新颖且保留部分原展品部件、风格，突出“展品整改”主题，能提供展品外观效果图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进行综合评审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每个展品方案0-3分），共6分</w:t>
            </w:r>
          </w:p>
          <w:p w14:paraId="04D5E5F6"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改造技术路线合理，所采用的技术和设备先进、成熟，能有效解决展品现存问题进行综合评审（0-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，共5分</w:t>
            </w:r>
          </w:p>
          <w:p w14:paraId="113C4880"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互动方式创新、多样，能显著增强观众参与感和积极性，与科普教育目标紧密结合进行综合评审。（0-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，共5分</w:t>
            </w:r>
          </w:p>
          <w:p w14:paraId="56576457"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外观设计、展示清晰度和趣味性提升方案合理，能有效提高观众参观满意度和停留时间进行综合评审。（0-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分）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，共5分</w:t>
            </w:r>
          </w:p>
          <w:p w14:paraId="4F136447"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安全防护措施全面、有效，能彻底消除现有展品安全隐患进行综合评审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（0-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，共5分</w:t>
            </w:r>
          </w:p>
          <w:p w14:paraId="7575DD93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上述根据投标情况酌情给分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5A01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分</w:t>
            </w:r>
          </w:p>
        </w:tc>
      </w:tr>
      <w:tr w14:paraId="3813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D54662A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B5B0A89">
            <w:pPr>
              <w:pStyle w:val="2"/>
              <w:rPr>
                <w:rFonts w:hint="eastAsia"/>
              </w:rPr>
            </w:pPr>
          </w:p>
          <w:p w14:paraId="2BEA29A2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028AB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项目实施方案</w:t>
            </w:r>
          </w:p>
          <w:p w14:paraId="59FEB696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（主观分）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FAB56D"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制定合理且符合项目时间节点的实施计划</w:t>
            </w:r>
            <w:r>
              <w:rPr>
                <w:rFonts w:hint="eastAsia" w:ascii="宋体" w:hAnsi="宋体" w:cs="宋体"/>
                <w:kern w:val="0"/>
                <w:szCs w:val="21"/>
              </w:rPr>
              <w:t>（0-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，共2分</w:t>
            </w:r>
          </w:p>
          <w:p w14:paraId="07108D07"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关键节点的控制措施合理、可行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（0-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，共2分</w:t>
            </w:r>
          </w:p>
          <w:p w14:paraId="2351AA45"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展品制作厂家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派员驻点情况</w:t>
            </w:r>
            <w:r>
              <w:rPr>
                <w:rFonts w:hint="eastAsia" w:ascii="宋体" w:hAnsi="宋体" w:cs="宋体"/>
                <w:kern w:val="0"/>
                <w:szCs w:val="21"/>
              </w:rPr>
              <w:t>（0-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，共2分</w:t>
            </w:r>
          </w:p>
          <w:p w14:paraId="68A0ED81"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展品设计制作过程提出合理化建议</w:t>
            </w:r>
            <w:r>
              <w:rPr>
                <w:rFonts w:hint="eastAsia" w:ascii="宋体" w:hAnsi="宋体" w:cs="宋体"/>
                <w:kern w:val="0"/>
                <w:szCs w:val="21"/>
              </w:rPr>
              <w:t>。（0-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，共2分</w:t>
            </w:r>
          </w:p>
          <w:p w14:paraId="6A088A95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上述根据投标情况酌情给分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D7522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7FBBCD7C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2207F2A9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分</w:t>
            </w:r>
          </w:p>
        </w:tc>
      </w:tr>
      <w:tr w14:paraId="3E806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50F9F0C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38DF012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AD2F30C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9B061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服务承诺及培训措施</w:t>
            </w:r>
          </w:p>
          <w:p w14:paraId="1538E950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（主观分）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7A7B9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供应商提供的售后服务体系是否完善以及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能否提供驻馆维修或其他及时响应的维修形式</w:t>
            </w:r>
            <w:r>
              <w:rPr>
                <w:rFonts w:hint="eastAsia" w:ascii="宋体" w:hAnsi="宋体" w:cs="宋体"/>
                <w:kern w:val="0"/>
                <w:szCs w:val="21"/>
              </w:rPr>
              <w:t>进行综合评审；（0-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分）</w:t>
            </w:r>
          </w:p>
          <w:p w14:paraId="03D7A045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供应商提供的专用耗材及备品备件等方面进行综合评审；（0-1 分）</w:t>
            </w:r>
          </w:p>
          <w:p w14:paraId="293E3682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供应商制定技术培训方案进行综合评审。（0-1 分）</w:t>
            </w:r>
          </w:p>
          <w:p w14:paraId="2C306B1A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上述根据投标情况酌情给分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54058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1583644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00651BA">
            <w:pPr>
              <w:spacing w:line="440" w:lineRule="exac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  <w:p w14:paraId="6B16E54C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470A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FFD002B">
            <w:pPr>
              <w:spacing w:line="440" w:lineRule="exact"/>
              <w:ind w:firstLine="210" w:firstLineChars="1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BFCC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质保期承诺</w:t>
            </w:r>
          </w:p>
          <w:p w14:paraId="7D1CB1FA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客观分）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A4F26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质保期符合招标文件要求的不得分，每增加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个月加 1分，最高得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  <w:p w14:paraId="77C15AFA"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供应商需提供承诺文件，不提供不得分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AB7B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</w:tr>
      <w:tr w14:paraId="66BA3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6F4DBA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18B78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资质</w:t>
            </w: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</w:p>
          <w:p w14:paraId="10D50B59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客观分）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E68F3">
            <w:pPr>
              <w:spacing w:line="440" w:lineRule="exac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kern w:val="0"/>
                <w:szCs w:val="21"/>
              </w:rPr>
              <w:t>获得质量管理体系认证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得1分；</w:t>
            </w:r>
          </w:p>
          <w:p w14:paraId="2834DEFF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获得环境管理体系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得1分；</w:t>
            </w:r>
            <w:r>
              <w:rPr>
                <w:rFonts w:hint="eastAsia" w:ascii="宋体" w:hAnsi="宋体" w:cs="宋体"/>
                <w:kern w:val="0"/>
                <w:szCs w:val="21"/>
              </w:rPr>
              <w:t>获得职业健康安全管理体系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得1分。共3分。</w:t>
            </w:r>
          </w:p>
          <w:p w14:paraId="77F5182B">
            <w:pPr>
              <w:pStyle w:val="2"/>
              <w:ind w:left="0" w:leftChars="0" w:firstLine="0" w:firstLine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供应商需提供有效期内的认证证书</w:t>
            </w: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并加盖公章</w:t>
            </w: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，不提供不得分</w:t>
            </w:r>
          </w:p>
          <w:p w14:paraId="291E36C7">
            <w:pPr>
              <w:spacing w:line="4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评委根据供应商 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年 1 月 1 日至今类似项目的业绩进行评定：供应商每提供一个项目业绩得 0.5 分，最高得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分。</w:t>
            </w:r>
          </w:p>
          <w:p w14:paraId="3A4E0C04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  <w:lang w:val="en-US" w:eastAsia="zh-CN"/>
              </w:rPr>
              <w:t>供应商需提供合同扫描件并加盖公章，不提供不得分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D1A6"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</w:tr>
    </w:tbl>
    <w:p w14:paraId="333B2BD0">
      <w:pPr>
        <w:pStyle w:val="2"/>
        <w:ind w:left="0" w:leftChars="0" w:firstLine="0" w:firstLineChars="0"/>
        <w:rPr>
          <w:rFonts w:hint="eastAsia" w:ascii="Times New Roman" w:hAnsi="Times New Roman"/>
        </w:rPr>
      </w:pPr>
    </w:p>
    <w:p w14:paraId="753EDCA4">
      <w:pPr>
        <w:numPr>
          <w:ilvl w:val="0"/>
          <w:numId w:val="1"/>
        </w:numPr>
        <w:spacing w:line="440" w:lineRule="exact"/>
        <w:ind w:firstLine="0"/>
        <w:rPr>
          <w:rFonts w:hint="eastAsia" w:ascii="新宋体" w:hAnsi="新宋体" w:eastAsia="新宋体" w:cs="新宋体"/>
          <w:b/>
          <w:bCs/>
          <w:sz w:val="22"/>
          <w:szCs w:val="22"/>
        </w:rPr>
      </w:pPr>
      <w:r>
        <w:rPr>
          <w:rFonts w:hint="eastAsia" w:ascii="新宋体" w:hAnsi="新宋体" w:eastAsia="新宋体"/>
          <w:b/>
          <w:sz w:val="22"/>
          <w:szCs w:val="22"/>
        </w:rPr>
        <w:t>投标报价评分</w:t>
      </w:r>
      <w:r>
        <w:rPr>
          <w:rFonts w:hint="eastAsia" w:ascii="新宋体" w:hAnsi="新宋体" w:eastAsia="新宋体" w:cs="新宋体"/>
          <w:b/>
          <w:bCs/>
          <w:sz w:val="22"/>
          <w:szCs w:val="22"/>
        </w:rPr>
        <w:t>（30分）：</w:t>
      </w:r>
    </w:p>
    <w:p w14:paraId="309BCE0A">
      <w:pPr>
        <w:spacing w:line="440" w:lineRule="exact"/>
        <w:rPr>
          <w:rFonts w:hint="eastAsia" w:ascii="新宋体" w:hAnsi="新宋体" w:eastAsia="新宋体" w:cs="新宋体"/>
          <w:kern w:val="0"/>
          <w:sz w:val="22"/>
          <w:szCs w:val="22"/>
        </w:rPr>
      </w:pPr>
      <w:r>
        <w:rPr>
          <w:rFonts w:hint="eastAsia" w:ascii="新宋体" w:hAnsi="新宋体" w:eastAsia="新宋体" w:cs="新宋体"/>
          <w:kern w:val="0"/>
          <w:sz w:val="22"/>
          <w:szCs w:val="22"/>
        </w:rPr>
        <w:t>2.1满足采购文件要求且投标价格最低的投标报价为评标基准价；</w:t>
      </w:r>
    </w:p>
    <w:p w14:paraId="39A12BC4">
      <w:pPr>
        <w:spacing w:line="440" w:lineRule="exact"/>
        <w:ind w:left="330"/>
        <w:rPr>
          <w:rFonts w:hint="eastAsia" w:ascii="新宋体" w:hAnsi="新宋体" w:eastAsia="新宋体" w:cs="新宋体"/>
          <w:kern w:val="0"/>
          <w:sz w:val="22"/>
          <w:szCs w:val="22"/>
        </w:rPr>
      </w:pPr>
      <w:r>
        <w:rPr>
          <w:rFonts w:hint="eastAsia" w:ascii="新宋体" w:hAnsi="新宋体" w:eastAsia="新宋体" w:cs="新宋体"/>
          <w:kern w:val="0"/>
          <w:sz w:val="22"/>
          <w:szCs w:val="22"/>
        </w:rPr>
        <w:t>1）有效投标人的投标价等于评标基准价时，其投标报价评分值为满分；</w:t>
      </w:r>
    </w:p>
    <w:p w14:paraId="5F7B6B50">
      <w:pPr>
        <w:spacing w:line="440" w:lineRule="exact"/>
        <w:ind w:left="330"/>
        <w:rPr>
          <w:rFonts w:hint="eastAsia" w:ascii="新宋体" w:hAnsi="新宋体" w:eastAsia="新宋体" w:cs="新宋体"/>
          <w:kern w:val="0"/>
          <w:sz w:val="22"/>
          <w:szCs w:val="22"/>
        </w:rPr>
      </w:pPr>
      <w:r>
        <w:rPr>
          <w:rFonts w:hint="eastAsia" w:ascii="新宋体" w:hAnsi="新宋体" w:eastAsia="新宋体" w:cs="新宋体"/>
          <w:kern w:val="0"/>
          <w:sz w:val="22"/>
          <w:szCs w:val="22"/>
          <w:lang w:val="en-US" w:eastAsia="zh-CN"/>
        </w:rPr>
        <w:t>2</w:t>
      </w:r>
      <w:r>
        <w:rPr>
          <w:rFonts w:hint="eastAsia" w:ascii="新宋体" w:hAnsi="新宋体" w:eastAsia="新宋体" w:cs="新宋体"/>
          <w:kern w:val="0"/>
          <w:sz w:val="22"/>
          <w:szCs w:val="22"/>
        </w:rPr>
        <w:t>）</w:t>
      </w:r>
      <w:r>
        <w:rPr>
          <w:rFonts w:hint="eastAsia" w:ascii="宋体" w:hAnsi="宋体" w:cs="宋体"/>
          <w:kern w:val="0"/>
          <w:sz w:val="22"/>
          <w:szCs w:val="22"/>
        </w:rPr>
        <w:t>本项目采购预算金额为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100000</w:t>
      </w:r>
      <w:r>
        <w:rPr>
          <w:rFonts w:hint="eastAsia" w:ascii="宋体" w:hAnsi="宋体" w:cs="宋体"/>
          <w:kern w:val="0"/>
          <w:sz w:val="22"/>
          <w:szCs w:val="22"/>
        </w:rPr>
        <w:t>元， 如投标人报价超过投标对应标段采购预算，其投标文件作无效标处理。</w:t>
      </w:r>
    </w:p>
    <w:p w14:paraId="0AA804E3">
      <w:pPr>
        <w:spacing w:line="440" w:lineRule="exact"/>
        <w:ind w:left="330"/>
        <w:rPr>
          <w:rFonts w:hint="eastAsia" w:ascii="新宋体" w:hAnsi="新宋体" w:eastAsia="新宋体" w:cs="新宋体"/>
          <w:kern w:val="0"/>
          <w:sz w:val="22"/>
          <w:szCs w:val="22"/>
        </w:rPr>
      </w:pPr>
      <w:r>
        <w:rPr>
          <w:rFonts w:hint="eastAsia" w:ascii="新宋体" w:hAnsi="新宋体" w:eastAsia="新宋体" w:cs="新宋体"/>
          <w:kern w:val="0"/>
          <w:sz w:val="22"/>
          <w:szCs w:val="22"/>
          <w:lang w:val="en-US" w:eastAsia="zh-CN"/>
        </w:rPr>
        <w:t>3</w:t>
      </w:r>
      <w:r>
        <w:rPr>
          <w:rFonts w:hint="eastAsia" w:ascii="新宋体" w:hAnsi="新宋体" w:eastAsia="新宋体" w:cs="新宋体"/>
          <w:kern w:val="0"/>
          <w:sz w:val="22"/>
          <w:szCs w:val="22"/>
        </w:rPr>
        <w:t>）所有投标人商务报价均超相应标段采购预算，重新组织招标。</w:t>
      </w:r>
    </w:p>
    <w:p w14:paraId="3FB84F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D2C4F"/>
    <w:rsid w:val="2B596E63"/>
    <w:rsid w:val="32945942"/>
    <w:rsid w:val="3D397BED"/>
    <w:rsid w:val="4502359D"/>
    <w:rsid w:val="4A3B06EB"/>
    <w:rsid w:val="4CA5038F"/>
    <w:rsid w:val="50CF0F40"/>
    <w:rsid w:val="71997B9A"/>
    <w:rsid w:val="77172B25"/>
    <w:rsid w:val="7C21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/>
      <w:ind w:left="420" w:leftChars="200" w:firstLine="420" w:firstLineChars="200"/>
      <w:jc w:val="both"/>
    </w:pPr>
    <w:rPr>
      <w:szCs w:val="24"/>
    </w:rPr>
  </w:style>
  <w:style w:type="paragraph" w:styleId="3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ascii="宋体" w:hAnsi="宋体"/>
      <w:sz w:val="24"/>
      <w:szCs w:val="20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ahoma" w:hAnsi="Tahoma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1033</Characters>
  <Lines>0</Lines>
  <Paragraphs>0</Paragraphs>
  <TotalTime>11</TotalTime>
  <ScaleCrop>false</ScaleCrop>
  <LinksUpToDate>false</LinksUpToDate>
  <CharactersWithSpaces>1052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2025-03-05T08:05:00Z</dcterms:created>
  <dc:creator>Lenovo</dc:creator>
  <cp:lastModifiedBy>8251696056</cp:lastModifiedBy>
  <dcterms:modified xsi:type="dcterms:W3CDTF">2025-04-11T07:01:45Z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eyJoZGlkIjoiNDNjMzk5MmFmNmNhNDRiNmUxMWU1NjkzMTdjZTQwY2EiLCJ1c2VySWQiOiIxNjkxMzYxOTI4In0=</vt:lpwstr>
  </property>
  <property fmtid="{D5CDD505-2E9C-101B-9397-08002B2CF9AE}" pid="4" name="ICV">
    <vt:lpwstr>8F907B27BE7A48D8AE3A9A6706664EAA_12</vt:lpwstr>
  </property>
</Properties>
</file>